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943"/>
        <w:gridCol w:w="2410"/>
        <w:gridCol w:w="1843"/>
        <w:gridCol w:w="1984"/>
        <w:gridCol w:w="2268"/>
        <w:gridCol w:w="2726"/>
      </w:tblGrid>
      <w:tr w:rsidR="00A86CCB" w:rsidRPr="00A86CCB" w:rsidTr="00C810AD">
        <w:tc>
          <w:tcPr>
            <w:tcW w:w="2943" w:type="dxa"/>
            <w:shd w:val="clear" w:color="auto" w:fill="F2F2F2" w:themeFill="background1" w:themeFillShade="F2"/>
          </w:tcPr>
          <w:p w:rsidR="00A86CCB" w:rsidRPr="00A86CCB" w:rsidRDefault="00A86CCB">
            <w:pPr>
              <w:rPr>
                <w:b/>
              </w:rPr>
            </w:pPr>
            <w:r w:rsidRPr="00A86CCB">
              <w:rPr>
                <w:b/>
              </w:rPr>
              <w:t>1 Findings</w:t>
            </w:r>
          </w:p>
        </w:tc>
        <w:tc>
          <w:tcPr>
            <w:tcW w:w="2410" w:type="dxa"/>
            <w:shd w:val="clear" w:color="auto" w:fill="F2F2F2" w:themeFill="background1" w:themeFillShade="F2"/>
          </w:tcPr>
          <w:p w:rsidR="00A86CCB" w:rsidRPr="00A86CCB" w:rsidRDefault="00A86CCB">
            <w:pPr>
              <w:rPr>
                <w:b/>
              </w:rPr>
            </w:pPr>
            <w:r w:rsidRPr="00A86CCB">
              <w:rPr>
                <w:b/>
              </w:rPr>
              <w:t>2 Actions to be taken</w:t>
            </w:r>
          </w:p>
        </w:tc>
        <w:tc>
          <w:tcPr>
            <w:tcW w:w="1843" w:type="dxa"/>
            <w:shd w:val="clear" w:color="auto" w:fill="F2F2F2" w:themeFill="background1" w:themeFillShade="F2"/>
          </w:tcPr>
          <w:p w:rsidR="00A86CCB" w:rsidRPr="00A86CCB" w:rsidRDefault="00A86CCB">
            <w:pPr>
              <w:rPr>
                <w:b/>
              </w:rPr>
            </w:pPr>
            <w:r w:rsidRPr="00A86CCB">
              <w:rPr>
                <w:b/>
              </w:rPr>
              <w:t>3 Date for completion</w:t>
            </w:r>
          </w:p>
        </w:tc>
        <w:tc>
          <w:tcPr>
            <w:tcW w:w="1984" w:type="dxa"/>
            <w:shd w:val="clear" w:color="auto" w:fill="F2F2F2" w:themeFill="background1" w:themeFillShade="F2"/>
          </w:tcPr>
          <w:p w:rsidR="00A86CCB" w:rsidRPr="00A86CCB" w:rsidRDefault="00A86CCB">
            <w:pPr>
              <w:rPr>
                <w:b/>
              </w:rPr>
            </w:pPr>
            <w:r w:rsidRPr="00A86CCB">
              <w:rPr>
                <w:b/>
              </w:rPr>
              <w:t>4 Action by</w:t>
            </w:r>
          </w:p>
        </w:tc>
        <w:tc>
          <w:tcPr>
            <w:tcW w:w="2268" w:type="dxa"/>
            <w:shd w:val="clear" w:color="auto" w:fill="F2F2F2" w:themeFill="background1" w:themeFillShade="F2"/>
          </w:tcPr>
          <w:p w:rsidR="00A86CCB" w:rsidRPr="00A86CCB" w:rsidRDefault="00A86CCB">
            <w:pPr>
              <w:rPr>
                <w:b/>
              </w:rPr>
            </w:pPr>
            <w:r w:rsidRPr="00A86CCB">
              <w:rPr>
                <w:b/>
              </w:rPr>
              <w:t>5 Success Indicators</w:t>
            </w:r>
          </w:p>
        </w:tc>
        <w:tc>
          <w:tcPr>
            <w:tcW w:w="2726" w:type="dxa"/>
            <w:shd w:val="clear" w:color="auto" w:fill="F2F2F2" w:themeFill="background1" w:themeFillShade="F2"/>
          </w:tcPr>
          <w:p w:rsidR="00D111C0" w:rsidRDefault="00D111C0" w:rsidP="00D111C0">
            <w:pPr>
              <w:rPr>
                <w:b/>
              </w:rPr>
            </w:pPr>
            <w:r>
              <w:rPr>
                <w:b/>
              </w:rPr>
              <w:t xml:space="preserve">6 Progress from </w:t>
            </w:r>
          </w:p>
          <w:p w:rsidR="00A86CCB" w:rsidRPr="00D111C0" w:rsidRDefault="00D111C0" w:rsidP="00D111C0">
            <w:pPr>
              <w:rPr>
                <w:b/>
              </w:rPr>
            </w:pPr>
            <w:r>
              <w:rPr>
                <w:b/>
              </w:rPr>
              <w:t xml:space="preserve">Nov </w:t>
            </w:r>
            <w:r w:rsidRPr="00D111C0">
              <w:rPr>
                <w:b/>
              </w:rPr>
              <w:t>2017</w:t>
            </w:r>
            <w:r>
              <w:rPr>
                <w:b/>
              </w:rPr>
              <w:t xml:space="preserve"> Review</w:t>
            </w:r>
          </w:p>
        </w:tc>
      </w:tr>
      <w:tr w:rsidR="00A86CCB" w:rsidTr="00C810AD">
        <w:tc>
          <w:tcPr>
            <w:tcW w:w="2943" w:type="dxa"/>
          </w:tcPr>
          <w:p w:rsidR="00A86CCB" w:rsidRPr="00A86CCB" w:rsidRDefault="00A86CCB">
            <w:pPr>
              <w:rPr>
                <w:b/>
              </w:rPr>
            </w:pPr>
            <w:r w:rsidRPr="00A86CCB">
              <w:rPr>
                <w:b/>
              </w:rPr>
              <w:t>Good Practice</w:t>
            </w:r>
          </w:p>
        </w:tc>
        <w:tc>
          <w:tcPr>
            <w:tcW w:w="2410" w:type="dxa"/>
            <w:shd w:val="clear" w:color="auto" w:fill="D9D9D9" w:themeFill="background1" w:themeFillShade="D9"/>
          </w:tcPr>
          <w:p w:rsidR="00A86CCB" w:rsidRDefault="00A86CCB"/>
        </w:tc>
        <w:tc>
          <w:tcPr>
            <w:tcW w:w="1843" w:type="dxa"/>
            <w:shd w:val="clear" w:color="auto" w:fill="D9D9D9" w:themeFill="background1" w:themeFillShade="D9"/>
          </w:tcPr>
          <w:p w:rsidR="00A86CCB" w:rsidRDefault="00A86CCB"/>
        </w:tc>
        <w:tc>
          <w:tcPr>
            <w:tcW w:w="1984" w:type="dxa"/>
            <w:shd w:val="clear" w:color="auto" w:fill="D9D9D9" w:themeFill="background1" w:themeFillShade="D9"/>
          </w:tcPr>
          <w:p w:rsidR="00A86CCB" w:rsidRDefault="00A86CCB"/>
        </w:tc>
        <w:tc>
          <w:tcPr>
            <w:tcW w:w="2268" w:type="dxa"/>
            <w:shd w:val="clear" w:color="auto" w:fill="D9D9D9" w:themeFill="background1" w:themeFillShade="D9"/>
          </w:tcPr>
          <w:p w:rsidR="00A86CCB" w:rsidRDefault="00A86CCB"/>
        </w:tc>
        <w:tc>
          <w:tcPr>
            <w:tcW w:w="2726" w:type="dxa"/>
            <w:shd w:val="clear" w:color="auto" w:fill="D9D9D9" w:themeFill="background1" w:themeFillShade="D9"/>
          </w:tcPr>
          <w:p w:rsidR="00A86CCB" w:rsidRDefault="00A86CCB"/>
        </w:tc>
      </w:tr>
      <w:tr w:rsidR="00A86CCB" w:rsidTr="00C810AD">
        <w:tc>
          <w:tcPr>
            <w:tcW w:w="2943" w:type="dxa"/>
          </w:tcPr>
          <w:p w:rsidR="00A86CCB" w:rsidRPr="000B4FB9" w:rsidRDefault="00A86CCB">
            <w:pPr>
              <w:rPr>
                <w:b/>
              </w:rPr>
            </w:pPr>
            <w:r w:rsidRPr="000B4FB9">
              <w:rPr>
                <w:b/>
              </w:rPr>
              <w:t>The comprehensive and supportive processes for selection and admissions, which provide a positive introduction to the student learn</w:t>
            </w:r>
            <w:r w:rsidR="008E3EE3" w:rsidRPr="000B4FB9">
              <w:rPr>
                <w:b/>
              </w:rPr>
              <w:t>ing experience (Expectation B2)</w:t>
            </w:r>
          </w:p>
        </w:tc>
        <w:tc>
          <w:tcPr>
            <w:tcW w:w="2410" w:type="dxa"/>
          </w:tcPr>
          <w:p w:rsidR="00A86CCB" w:rsidRDefault="008E3EE3" w:rsidP="008E3EE3">
            <w:r>
              <w:t xml:space="preserve">Analyse results from the </w:t>
            </w:r>
            <w:r w:rsidR="00D0632D">
              <w:t xml:space="preserve">new </w:t>
            </w:r>
            <w:r>
              <w:t xml:space="preserve">online application process in order to develop learning further </w:t>
            </w:r>
          </w:p>
          <w:p w:rsidR="000B4FB9" w:rsidRDefault="000B4FB9" w:rsidP="008E3EE3"/>
          <w:p w:rsidR="000B4FB9" w:rsidRDefault="000B4FB9" w:rsidP="008E3EE3"/>
          <w:p w:rsidR="00D0632D" w:rsidRDefault="000B4FB9" w:rsidP="008E3EE3">
            <w:r w:rsidRPr="000B4FB9">
              <w:t>Partnering with the Diversity School Initiative</w:t>
            </w:r>
          </w:p>
        </w:tc>
        <w:tc>
          <w:tcPr>
            <w:tcW w:w="1843" w:type="dxa"/>
          </w:tcPr>
          <w:p w:rsidR="00A86CCB" w:rsidRDefault="00D111C0">
            <w:r>
              <w:t>November</w:t>
            </w:r>
            <w:r w:rsidR="008E3EE3">
              <w:t xml:space="preserve"> 2018</w:t>
            </w:r>
          </w:p>
          <w:p w:rsidR="000B4FB9" w:rsidRDefault="000B4FB9"/>
          <w:p w:rsidR="000B4FB9" w:rsidRDefault="000B4FB9"/>
          <w:p w:rsidR="000B4FB9" w:rsidRDefault="000B4FB9"/>
          <w:p w:rsidR="000B4FB9" w:rsidRDefault="000B4FB9"/>
          <w:p w:rsidR="000B4FB9" w:rsidRDefault="000B4FB9"/>
          <w:p w:rsidR="000B4FB9" w:rsidRDefault="000B4FB9"/>
          <w:p w:rsidR="000B4FB9" w:rsidRDefault="000B4FB9">
            <w:r>
              <w:t xml:space="preserve">September 2019: annual review of 3 year cycle </w:t>
            </w:r>
          </w:p>
        </w:tc>
        <w:tc>
          <w:tcPr>
            <w:tcW w:w="1984" w:type="dxa"/>
          </w:tcPr>
          <w:p w:rsidR="00A86CCB" w:rsidRDefault="008E3EE3">
            <w:r>
              <w:t>Academic Registrar</w:t>
            </w:r>
          </w:p>
          <w:p w:rsidR="003C5B6E" w:rsidRDefault="003C5B6E"/>
          <w:p w:rsidR="003C5B6E" w:rsidRDefault="003C5B6E"/>
          <w:p w:rsidR="003C5B6E" w:rsidRDefault="003C5B6E"/>
          <w:p w:rsidR="003C5B6E" w:rsidRDefault="003C5B6E"/>
          <w:p w:rsidR="003C5B6E" w:rsidRDefault="003C5B6E"/>
          <w:p w:rsidR="003C5B6E" w:rsidRDefault="003C5B6E"/>
          <w:p w:rsidR="003C5B6E" w:rsidRDefault="003C5B6E">
            <w:r w:rsidRPr="003C5B6E">
              <w:t>Principal and Artistic Director</w:t>
            </w:r>
          </w:p>
        </w:tc>
        <w:tc>
          <w:tcPr>
            <w:tcW w:w="2268" w:type="dxa"/>
          </w:tcPr>
          <w:p w:rsidR="00A86CCB" w:rsidRDefault="00D111C0">
            <w:r>
              <w:t xml:space="preserve">Analysis evidences </w:t>
            </w:r>
            <w:r w:rsidR="00D0632D">
              <w:t>prospective students h</w:t>
            </w:r>
            <w:r>
              <w:t>ave been dealt with more efficiently</w:t>
            </w:r>
            <w:r w:rsidR="00D0632D">
              <w:t xml:space="preserve"> as a result of the online process</w:t>
            </w:r>
          </w:p>
          <w:p w:rsidR="000B4FB9" w:rsidRDefault="000B4FB9"/>
          <w:p w:rsidR="000B4FB9" w:rsidRDefault="000B4FB9">
            <w:r>
              <w:t xml:space="preserve">Increase in </w:t>
            </w:r>
            <w:r w:rsidRPr="000B4FB9">
              <w:t>recruit</w:t>
            </w:r>
            <w:r>
              <w:t>ment from diverse backgrounds</w:t>
            </w:r>
          </w:p>
        </w:tc>
        <w:tc>
          <w:tcPr>
            <w:tcW w:w="2726" w:type="dxa"/>
          </w:tcPr>
          <w:p w:rsidR="00A86CCB" w:rsidRDefault="00A86CCB"/>
          <w:p w:rsidR="003C5B6E" w:rsidRDefault="003C5B6E"/>
          <w:p w:rsidR="003C5B6E" w:rsidRDefault="003C5B6E"/>
          <w:p w:rsidR="003C5B6E" w:rsidRDefault="003C5B6E"/>
          <w:p w:rsidR="003C5B6E" w:rsidRDefault="003C5B6E"/>
          <w:p w:rsidR="003C5B6E" w:rsidRDefault="003C5B6E"/>
          <w:p w:rsidR="003C5B6E" w:rsidRDefault="003C5B6E"/>
          <w:p w:rsidR="003C5B6E" w:rsidRDefault="003C5B6E">
            <w:r>
              <w:t>Partnership in place</w:t>
            </w:r>
          </w:p>
        </w:tc>
      </w:tr>
      <w:tr w:rsidR="00A86CCB" w:rsidTr="00C810AD">
        <w:tc>
          <w:tcPr>
            <w:tcW w:w="2943" w:type="dxa"/>
          </w:tcPr>
          <w:p w:rsidR="00A86CCB" w:rsidRPr="000B4FB9" w:rsidRDefault="00A86CCB">
            <w:pPr>
              <w:rPr>
                <w:b/>
              </w:rPr>
            </w:pPr>
            <w:r w:rsidRPr="000B4FB9">
              <w:rPr>
                <w:b/>
              </w:rPr>
              <w:t>The well-developed systems and resources for academic and pastoral support (</w:t>
            </w:r>
            <w:r w:rsidR="008C1D00" w:rsidRPr="000B4FB9">
              <w:rPr>
                <w:b/>
              </w:rPr>
              <w:t>Expectation B4 and Enhancement)</w:t>
            </w:r>
          </w:p>
        </w:tc>
        <w:tc>
          <w:tcPr>
            <w:tcW w:w="2410" w:type="dxa"/>
          </w:tcPr>
          <w:p w:rsidR="00A86CCB" w:rsidRDefault="00D0632D">
            <w:r>
              <w:t>Continue roll-out of Mental Health First Aid training</w:t>
            </w:r>
          </w:p>
          <w:p w:rsidR="00536AD5" w:rsidRDefault="00536AD5"/>
          <w:p w:rsidR="00536AD5" w:rsidRDefault="00536AD5"/>
          <w:p w:rsidR="00536AD5" w:rsidRDefault="00536AD5">
            <w:r>
              <w:t>Research and connect with IAPT service in Southwark</w:t>
            </w:r>
          </w:p>
        </w:tc>
        <w:tc>
          <w:tcPr>
            <w:tcW w:w="1843" w:type="dxa"/>
          </w:tcPr>
          <w:p w:rsidR="00A86CCB" w:rsidRDefault="00D0632D">
            <w:r>
              <w:t>November 2018</w:t>
            </w:r>
          </w:p>
          <w:p w:rsidR="000B4FB9" w:rsidRDefault="000B4FB9"/>
          <w:p w:rsidR="000B4FB9" w:rsidRDefault="000B4FB9"/>
          <w:p w:rsidR="000B4FB9" w:rsidRDefault="000B4FB9"/>
          <w:p w:rsidR="000B4FB9" w:rsidRDefault="000B4FB9"/>
          <w:p w:rsidR="000B4FB9" w:rsidRDefault="000B4FB9">
            <w:r>
              <w:t>November 2018</w:t>
            </w:r>
          </w:p>
        </w:tc>
        <w:tc>
          <w:tcPr>
            <w:tcW w:w="1984" w:type="dxa"/>
          </w:tcPr>
          <w:p w:rsidR="00A86CCB" w:rsidRDefault="00D0632D">
            <w:r>
              <w:t>Student Welfare Manager</w:t>
            </w:r>
          </w:p>
          <w:p w:rsidR="00536AD5" w:rsidRDefault="00536AD5"/>
          <w:p w:rsidR="00536AD5" w:rsidRDefault="00536AD5"/>
          <w:p w:rsidR="00536AD5" w:rsidRDefault="00536AD5"/>
          <w:p w:rsidR="00536AD5" w:rsidRDefault="00536AD5">
            <w:r w:rsidRPr="00536AD5">
              <w:t>Student Welfare Manager</w:t>
            </w:r>
          </w:p>
        </w:tc>
        <w:tc>
          <w:tcPr>
            <w:tcW w:w="2268" w:type="dxa"/>
          </w:tcPr>
          <w:p w:rsidR="00A86CCB" w:rsidRDefault="000B4FB9" w:rsidP="00D111C0">
            <w:r>
              <w:t>Personal Tutors/</w:t>
            </w:r>
            <w:r w:rsidR="00D0632D">
              <w:t xml:space="preserve">staff across all areas are </w:t>
            </w:r>
            <w:r w:rsidR="00D111C0">
              <w:t>trained</w:t>
            </w:r>
            <w:r w:rsidR="00D111C0" w:rsidRPr="00D0632D">
              <w:t xml:space="preserve"> </w:t>
            </w:r>
            <w:r w:rsidR="00D111C0">
              <w:t xml:space="preserve">in </w:t>
            </w:r>
            <w:r w:rsidR="00D0632D" w:rsidRPr="00D0632D">
              <w:t xml:space="preserve">Mental Health First Aid </w:t>
            </w:r>
          </w:p>
          <w:p w:rsidR="000B4FB9" w:rsidRDefault="000B4FB9" w:rsidP="00D111C0"/>
          <w:p w:rsidR="00536AD5" w:rsidRDefault="00536AD5" w:rsidP="00D111C0">
            <w:r>
              <w:t>Connections set up in Southwark</w:t>
            </w:r>
          </w:p>
        </w:tc>
        <w:tc>
          <w:tcPr>
            <w:tcW w:w="2726" w:type="dxa"/>
          </w:tcPr>
          <w:p w:rsidR="00A86CCB" w:rsidRDefault="00A86CCB" w:rsidP="00D0632D"/>
          <w:p w:rsidR="008B372C" w:rsidRDefault="008B372C" w:rsidP="00D0632D"/>
          <w:p w:rsidR="008B372C" w:rsidRDefault="008B372C" w:rsidP="00D0632D"/>
          <w:p w:rsidR="008B372C" w:rsidRDefault="008B372C" w:rsidP="00D0632D"/>
          <w:p w:rsidR="008B372C" w:rsidRDefault="008B372C" w:rsidP="00D0632D"/>
          <w:p w:rsidR="008B372C" w:rsidRDefault="008B372C" w:rsidP="00D0632D">
            <w:r>
              <w:t>Initial research in place</w:t>
            </w:r>
          </w:p>
        </w:tc>
      </w:tr>
      <w:tr w:rsidR="00A86CCB" w:rsidTr="00C810AD">
        <w:tc>
          <w:tcPr>
            <w:tcW w:w="2943" w:type="dxa"/>
          </w:tcPr>
          <w:p w:rsidR="000B4FB9" w:rsidRPr="000B4FB9" w:rsidRDefault="00A86CCB" w:rsidP="00A86CCB">
            <w:pPr>
              <w:rPr>
                <w:b/>
              </w:rPr>
            </w:pPr>
            <w:r w:rsidRPr="000B4FB9">
              <w:rPr>
                <w:b/>
              </w:rPr>
              <w:t xml:space="preserve">The systematic approach to developing employability skills and industry-readiness (Expectation B4 </w:t>
            </w:r>
            <w:r w:rsidR="008C1D00" w:rsidRPr="000B4FB9">
              <w:rPr>
                <w:b/>
              </w:rPr>
              <w:t>and Enhancement)</w:t>
            </w:r>
          </w:p>
        </w:tc>
        <w:tc>
          <w:tcPr>
            <w:tcW w:w="2410" w:type="dxa"/>
          </w:tcPr>
          <w:p w:rsidR="00D111C0" w:rsidRDefault="00D111C0">
            <w:r>
              <w:t>Continue to track alumni activity on an annual basis and develop learning from their experiences</w:t>
            </w:r>
          </w:p>
          <w:p w:rsidR="00A86CCB" w:rsidRDefault="00A86CCB"/>
        </w:tc>
        <w:tc>
          <w:tcPr>
            <w:tcW w:w="1843" w:type="dxa"/>
          </w:tcPr>
          <w:p w:rsidR="00A86CCB" w:rsidRDefault="00D111C0">
            <w:r>
              <w:t>November 2018</w:t>
            </w:r>
          </w:p>
        </w:tc>
        <w:tc>
          <w:tcPr>
            <w:tcW w:w="1984" w:type="dxa"/>
          </w:tcPr>
          <w:p w:rsidR="00A86CCB" w:rsidRDefault="008C1D00">
            <w:r>
              <w:t>Industry Liaison Manager</w:t>
            </w:r>
          </w:p>
        </w:tc>
        <w:tc>
          <w:tcPr>
            <w:tcW w:w="2268" w:type="dxa"/>
          </w:tcPr>
          <w:p w:rsidR="00A86CCB" w:rsidRDefault="00D111C0">
            <w:r>
              <w:t>Continued high level of employment and strong feedback from industry</w:t>
            </w:r>
          </w:p>
        </w:tc>
        <w:tc>
          <w:tcPr>
            <w:tcW w:w="2726" w:type="dxa"/>
          </w:tcPr>
          <w:p w:rsidR="00A86CCB" w:rsidRDefault="008B372C" w:rsidP="00D0632D">
            <w:r>
              <w:t>Ongoing tracking</w:t>
            </w:r>
          </w:p>
        </w:tc>
      </w:tr>
      <w:tr w:rsidR="00A86CCB" w:rsidTr="00C810AD">
        <w:tc>
          <w:tcPr>
            <w:tcW w:w="2943" w:type="dxa"/>
          </w:tcPr>
          <w:p w:rsidR="00A86CCB" w:rsidRPr="000B4FB9" w:rsidRDefault="00A86CCB" w:rsidP="00A86CCB">
            <w:pPr>
              <w:rPr>
                <w:b/>
              </w:rPr>
            </w:pPr>
            <w:r w:rsidRPr="000B4FB9">
              <w:rPr>
                <w:b/>
              </w:rPr>
              <w:t>The comprehensive outreach activities and support systems for students from diverse backgrounds (</w:t>
            </w:r>
            <w:r w:rsidR="008C1D00" w:rsidRPr="000B4FB9">
              <w:rPr>
                <w:b/>
              </w:rPr>
              <w:t>Enhancement and Expectation B2)</w:t>
            </w:r>
          </w:p>
        </w:tc>
        <w:tc>
          <w:tcPr>
            <w:tcW w:w="2410" w:type="dxa"/>
          </w:tcPr>
          <w:p w:rsidR="00A86CCB" w:rsidRDefault="008B372C">
            <w:r>
              <w:t xml:space="preserve">Developing </w:t>
            </w:r>
            <w:r w:rsidR="008C1D00">
              <w:t>Community Academy on the new Peckham site</w:t>
            </w:r>
          </w:p>
          <w:p w:rsidR="000B4FB9" w:rsidRDefault="000B4FB9"/>
          <w:p w:rsidR="008C1D00" w:rsidRDefault="008C1D00">
            <w:r>
              <w:t>Fundraising for student bursaries</w:t>
            </w:r>
          </w:p>
          <w:p w:rsidR="00536AD5" w:rsidRDefault="000B4FB9" w:rsidP="000B4FB9">
            <w:r>
              <w:lastRenderedPageBreak/>
              <w:t>Partnering</w:t>
            </w:r>
            <w:r w:rsidRPr="000B4FB9">
              <w:t xml:space="preserve"> with t</w:t>
            </w:r>
            <w:r>
              <w:t xml:space="preserve">he Diversity School Initiative </w:t>
            </w:r>
            <w:r w:rsidRPr="000B4FB9">
              <w:t xml:space="preserve">to strengthen our practice </w:t>
            </w:r>
          </w:p>
        </w:tc>
        <w:tc>
          <w:tcPr>
            <w:tcW w:w="1843" w:type="dxa"/>
          </w:tcPr>
          <w:p w:rsidR="00A86CCB" w:rsidRDefault="00536AD5">
            <w:r>
              <w:lastRenderedPageBreak/>
              <w:t>December 2018</w:t>
            </w:r>
          </w:p>
          <w:p w:rsidR="00536AD5" w:rsidRDefault="00536AD5"/>
          <w:p w:rsidR="00536AD5" w:rsidRDefault="00536AD5"/>
          <w:p w:rsidR="00536AD5" w:rsidRDefault="00536AD5"/>
          <w:p w:rsidR="00536AD5" w:rsidRDefault="00536AD5">
            <w:r>
              <w:t>December 2019</w:t>
            </w:r>
          </w:p>
          <w:p w:rsidR="008B372C" w:rsidRDefault="008B372C"/>
          <w:p w:rsidR="00536AD5" w:rsidRDefault="000B4FB9">
            <w:r>
              <w:lastRenderedPageBreak/>
              <w:t>November 2019</w:t>
            </w:r>
          </w:p>
        </w:tc>
        <w:tc>
          <w:tcPr>
            <w:tcW w:w="1984" w:type="dxa"/>
          </w:tcPr>
          <w:p w:rsidR="00A86CCB" w:rsidRDefault="008C1D00">
            <w:r>
              <w:lastRenderedPageBreak/>
              <w:t>Head of Short Courses</w:t>
            </w:r>
          </w:p>
          <w:p w:rsidR="008C1D00" w:rsidRDefault="008C1D00"/>
          <w:p w:rsidR="008C1D00" w:rsidRDefault="008C1D00"/>
          <w:p w:rsidR="008C1D00" w:rsidRDefault="008C1D00"/>
          <w:p w:rsidR="008C1D00" w:rsidRDefault="008C1D00"/>
          <w:p w:rsidR="008C1D00" w:rsidRDefault="008C1D00">
            <w:r>
              <w:lastRenderedPageBreak/>
              <w:t>Development</w:t>
            </w:r>
            <w:r w:rsidR="00536AD5">
              <w:t xml:space="preserve"> Manager</w:t>
            </w:r>
          </w:p>
          <w:p w:rsidR="00A43385" w:rsidRDefault="00A43385"/>
          <w:p w:rsidR="000B4FB9" w:rsidRDefault="000B4FB9"/>
          <w:p w:rsidR="00A43385" w:rsidRDefault="00A43385">
            <w:r>
              <w:t xml:space="preserve">Principal </w:t>
            </w:r>
            <w:r w:rsidRPr="00A43385">
              <w:t>and Artistic Director</w:t>
            </w:r>
          </w:p>
        </w:tc>
        <w:tc>
          <w:tcPr>
            <w:tcW w:w="2268" w:type="dxa"/>
          </w:tcPr>
          <w:p w:rsidR="00A86CCB" w:rsidRDefault="008C1D00">
            <w:r>
              <w:lastRenderedPageBreak/>
              <w:t>Participant sign up and positive feedback</w:t>
            </w:r>
          </w:p>
          <w:p w:rsidR="00D111C0" w:rsidRDefault="00D111C0"/>
          <w:p w:rsidR="00D111C0" w:rsidRDefault="00D111C0"/>
          <w:p w:rsidR="00D111C0" w:rsidRDefault="00D111C0">
            <w:r>
              <w:t>Securing new bursary opportunities</w:t>
            </w:r>
          </w:p>
          <w:p w:rsidR="000B4FB9" w:rsidRDefault="000B4FB9">
            <w:r>
              <w:lastRenderedPageBreak/>
              <w:t xml:space="preserve">Increased </w:t>
            </w:r>
            <w:r w:rsidRPr="000B4FB9">
              <w:t>support to st</w:t>
            </w:r>
            <w:r>
              <w:t>udents from diverse backgrounds is reflected in students satisfaction</w:t>
            </w:r>
          </w:p>
        </w:tc>
        <w:tc>
          <w:tcPr>
            <w:tcW w:w="2726" w:type="dxa"/>
          </w:tcPr>
          <w:p w:rsidR="00A86CCB" w:rsidRDefault="00A86CCB" w:rsidP="00D0632D"/>
          <w:p w:rsidR="003C5B6E" w:rsidRDefault="003C5B6E" w:rsidP="00D0632D"/>
          <w:p w:rsidR="003C5B6E" w:rsidRDefault="003C5B6E" w:rsidP="00D0632D"/>
          <w:p w:rsidR="003C5B6E" w:rsidRDefault="003C5B6E" w:rsidP="00D0632D"/>
          <w:p w:rsidR="003C5B6E" w:rsidRDefault="003C5B6E" w:rsidP="00D0632D"/>
          <w:p w:rsidR="003C5B6E" w:rsidRDefault="003C5B6E" w:rsidP="00D0632D"/>
          <w:p w:rsidR="003C5B6E" w:rsidRDefault="003C5B6E" w:rsidP="00D0632D">
            <w:r>
              <w:lastRenderedPageBreak/>
              <w:t>Partnership in place</w:t>
            </w:r>
          </w:p>
        </w:tc>
      </w:tr>
      <w:tr w:rsidR="00A86CCB" w:rsidTr="00C810AD">
        <w:tc>
          <w:tcPr>
            <w:tcW w:w="2943" w:type="dxa"/>
          </w:tcPr>
          <w:p w:rsidR="00A86CCB" w:rsidRPr="000B4FB9" w:rsidRDefault="00A86CCB" w:rsidP="00A86CCB">
            <w:pPr>
              <w:rPr>
                <w:b/>
              </w:rPr>
            </w:pPr>
            <w:r w:rsidRPr="000B4FB9">
              <w:rPr>
                <w:b/>
              </w:rPr>
              <w:lastRenderedPageBreak/>
              <w:t>The strategy for enhancement, and its implementation, which has enabled significant improvements to the s</w:t>
            </w:r>
            <w:r w:rsidR="00A43385" w:rsidRPr="000B4FB9">
              <w:rPr>
                <w:b/>
              </w:rPr>
              <w:t>tudent experience (Enhancement)</w:t>
            </w:r>
          </w:p>
          <w:p w:rsidR="000B4FB9" w:rsidRPr="000B4FB9" w:rsidRDefault="000B4FB9" w:rsidP="00A86CCB">
            <w:pPr>
              <w:rPr>
                <w:b/>
              </w:rPr>
            </w:pPr>
          </w:p>
        </w:tc>
        <w:tc>
          <w:tcPr>
            <w:tcW w:w="2410" w:type="dxa"/>
          </w:tcPr>
          <w:p w:rsidR="00A86CCB" w:rsidRDefault="008C1D00">
            <w:r>
              <w:t>To follow through on opening the new Peckham facilities and monitor progress</w:t>
            </w:r>
          </w:p>
        </w:tc>
        <w:tc>
          <w:tcPr>
            <w:tcW w:w="1843" w:type="dxa"/>
          </w:tcPr>
          <w:p w:rsidR="00A86CCB" w:rsidRDefault="00D111C0">
            <w:r>
              <w:t>September 2019</w:t>
            </w:r>
          </w:p>
        </w:tc>
        <w:tc>
          <w:tcPr>
            <w:tcW w:w="1984" w:type="dxa"/>
          </w:tcPr>
          <w:p w:rsidR="00A86CCB" w:rsidRDefault="00D111C0">
            <w:r>
              <w:t>Principal and Artistic Director</w:t>
            </w:r>
          </w:p>
        </w:tc>
        <w:tc>
          <w:tcPr>
            <w:tcW w:w="2268" w:type="dxa"/>
          </w:tcPr>
          <w:p w:rsidR="00A86CCB" w:rsidRDefault="008C1D00">
            <w:r>
              <w:t>Posi</w:t>
            </w:r>
            <w:r w:rsidR="00D111C0">
              <w:t xml:space="preserve">tive feedback from students, </w:t>
            </w:r>
            <w:r>
              <w:t>staff</w:t>
            </w:r>
            <w:r w:rsidR="00D111C0">
              <w:t>, industry &amp; community</w:t>
            </w:r>
            <w:r w:rsidR="008B372C">
              <w:t xml:space="preserve"> following successful launch</w:t>
            </w:r>
          </w:p>
          <w:p w:rsidR="00A86CCB" w:rsidRDefault="00A86CCB"/>
        </w:tc>
        <w:tc>
          <w:tcPr>
            <w:tcW w:w="2726" w:type="dxa"/>
          </w:tcPr>
          <w:p w:rsidR="00A86CCB" w:rsidRDefault="00A86CCB" w:rsidP="00D0632D"/>
        </w:tc>
      </w:tr>
      <w:tr w:rsidR="00A86CCB" w:rsidTr="00C810AD">
        <w:tc>
          <w:tcPr>
            <w:tcW w:w="2943" w:type="dxa"/>
          </w:tcPr>
          <w:p w:rsidR="00A86CCB" w:rsidRPr="00A86CCB" w:rsidRDefault="00A86CCB">
            <w:pPr>
              <w:rPr>
                <w:b/>
              </w:rPr>
            </w:pPr>
            <w:r w:rsidRPr="00A86CCB">
              <w:rPr>
                <w:b/>
              </w:rPr>
              <w:t>Recommendations</w:t>
            </w:r>
          </w:p>
        </w:tc>
        <w:tc>
          <w:tcPr>
            <w:tcW w:w="2410" w:type="dxa"/>
            <w:shd w:val="clear" w:color="auto" w:fill="D9D9D9" w:themeFill="background1" w:themeFillShade="D9"/>
          </w:tcPr>
          <w:p w:rsidR="00A86CCB" w:rsidRDefault="00A86CCB"/>
        </w:tc>
        <w:tc>
          <w:tcPr>
            <w:tcW w:w="1843" w:type="dxa"/>
            <w:shd w:val="clear" w:color="auto" w:fill="D9D9D9" w:themeFill="background1" w:themeFillShade="D9"/>
          </w:tcPr>
          <w:p w:rsidR="00A86CCB" w:rsidRDefault="00A86CCB"/>
        </w:tc>
        <w:tc>
          <w:tcPr>
            <w:tcW w:w="1984" w:type="dxa"/>
            <w:shd w:val="clear" w:color="auto" w:fill="D9D9D9" w:themeFill="background1" w:themeFillShade="D9"/>
          </w:tcPr>
          <w:p w:rsidR="00A86CCB" w:rsidRDefault="00A86CCB"/>
        </w:tc>
        <w:tc>
          <w:tcPr>
            <w:tcW w:w="2268" w:type="dxa"/>
            <w:shd w:val="clear" w:color="auto" w:fill="D9D9D9" w:themeFill="background1" w:themeFillShade="D9"/>
          </w:tcPr>
          <w:p w:rsidR="00A86CCB" w:rsidRDefault="00A86CCB"/>
        </w:tc>
        <w:tc>
          <w:tcPr>
            <w:tcW w:w="2726" w:type="dxa"/>
            <w:shd w:val="clear" w:color="auto" w:fill="D9D9D9" w:themeFill="background1" w:themeFillShade="D9"/>
          </w:tcPr>
          <w:p w:rsidR="00A86CCB" w:rsidRDefault="00A86CCB"/>
        </w:tc>
      </w:tr>
      <w:tr w:rsidR="00A86CCB" w:rsidTr="00C810AD">
        <w:tc>
          <w:tcPr>
            <w:tcW w:w="2943" w:type="dxa"/>
          </w:tcPr>
          <w:p w:rsidR="00A86CCB" w:rsidRPr="000B4FB9" w:rsidRDefault="00A86CCB" w:rsidP="00A86CCB">
            <w:pPr>
              <w:rPr>
                <w:b/>
              </w:rPr>
            </w:pPr>
            <w:r w:rsidRPr="000B4FB9">
              <w:rPr>
                <w:b/>
              </w:rPr>
              <w:t>Work with its awarding body to clarify and record the process for updating and publishing the definitive programme record (Expectation A2.2)</w:t>
            </w:r>
          </w:p>
        </w:tc>
        <w:tc>
          <w:tcPr>
            <w:tcW w:w="2410" w:type="dxa"/>
          </w:tcPr>
          <w:p w:rsidR="00A86CCB" w:rsidRDefault="00167FDC">
            <w:r>
              <w:t>Update the UEA Partnerships handbook</w:t>
            </w:r>
          </w:p>
        </w:tc>
        <w:tc>
          <w:tcPr>
            <w:tcW w:w="1843" w:type="dxa"/>
          </w:tcPr>
          <w:p w:rsidR="00A86CCB" w:rsidRDefault="00A86CCB">
            <w:r>
              <w:t>April 2018</w:t>
            </w:r>
          </w:p>
        </w:tc>
        <w:tc>
          <w:tcPr>
            <w:tcW w:w="1984" w:type="dxa"/>
          </w:tcPr>
          <w:p w:rsidR="00A86CCB" w:rsidRDefault="00167FDC">
            <w:r>
              <w:t>UEA Partnerships Manager</w:t>
            </w:r>
          </w:p>
        </w:tc>
        <w:tc>
          <w:tcPr>
            <w:tcW w:w="2268" w:type="dxa"/>
          </w:tcPr>
          <w:p w:rsidR="00A86CCB" w:rsidRDefault="00167FDC">
            <w:r>
              <w:t>Updates reviewed and completed</w:t>
            </w:r>
          </w:p>
        </w:tc>
        <w:tc>
          <w:tcPr>
            <w:tcW w:w="2726" w:type="dxa"/>
          </w:tcPr>
          <w:p w:rsidR="00167FDC" w:rsidRPr="00C810AD" w:rsidRDefault="00167FDC" w:rsidP="00162126">
            <w:pPr>
              <w:rPr>
                <w:b/>
              </w:rPr>
            </w:pPr>
            <w:r w:rsidRPr="00C810AD">
              <w:rPr>
                <w:b/>
              </w:rPr>
              <w:t>COMPLETE</w:t>
            </w:r>
          </w:p>
          <w:p w:rsidR="00162126" w:rsidRDefault="00162126" w:rsidP="00162126">
            <w:r>
              <w:t>For all validated provision the University maintains the final record of a course as approved at validation, accompanied by any subsequently approved Changes to Validated Provision forms, to ensure that the University can track curriculum changes over the period of validation.</w:t>
            </w:r>
          </w:p>
          <w:p w:rsidR="00162126" w:rsidRDefault="00162126" w:rsidP="00162126"/>
          <w:p w:rsidR="00162126" w:rsidRDefault="00162126" w:rsidP="00162126">
            <w:r>
              <w:t>Academic Partnerships receives updated student handbooks for all partner institutions at the start of each academic year.</w:t>
            </w:r>
          </w:p>
          <w:p w:rsidR="00162126" w:rsidRDefault="00162126" w:rsidP="00162126"/>
          <w:p w:rsidR="00162126" w:rsidRDefault="00162126" w:rsidP="00162126">
            <w:r>
              <w:t xml:space="preserve">Partner institutions are responsible for updating all course documentation, including but not limited to programme specifications, module definition forms and student handbooks, to reflect amendments approved via the Changes to Validated Provision process to ensure that students have access to up to date course documentation and information. </w:t>
            </w:r>
          </w:p>
          <w:p w:rsidR="00162126" w:rsidRDefault="006A6C71" w:rsidP="00162126">
            <w:hyperlink r:id="rId7" w:history="1">
              <w:r w:rsidR="00162126">
                <w:rPr>
                  <w:rStyle w:val="Hyperlink"/>
                </w:rPr>
                <w:t>https://portal.uea.ac.uk/partnerships-office/uea-partnerships-handbook/glossary</w:t>
              </w:r>
            </w:hyperlink>
            <w:r w:rsidR="00162126">
              <w:t xml:space="preserve"> </w:t>
            </w:r>
          </w:p>
          <w:p w:rsidR="00162126" w:rsidRDefault="00162126" w:rsidP="00162126"/>
          <w:p w:rsidR="00162126" w:rsidRDefault="006A6C71" w:rsidP="00162126">
            <w:hyperlink r:id="rId8" w:history="1">
              <w:r w:rsidR="00162126">
                <w:rPr>
                  <w:rStyle w:val="Hyperlink"/>
                </w:rPr>
                <w:t>https://portal.uea.ac.uk/partnerships-office/uea-partnerships-handbook/validation</w:t>
              </w:r>
            </w:hyperlink>
          </w:p>
          <w:p w:rsidR="00162126" w:rsidRDefault="00162126" w:rsidP="00162126"/>
        </w:tc>
      </w:tr>
      <w:tr w:rsidR="00A86CCB" w:rsidTr="00C810AD">
        <w:tc>
          <w:tcPr>
            <w:tcW w:w="2943" w:type="dxa"/>
          </w:tcPr>
          <w:p w:rsidR="00A86CCB" w:rsidRDefault="00A86CCB" w:rsidP="00A86CCB">
            <w:pPr>
              <w:rPr>
                <w:b/>
              </w:rPr>
            </w:pPr>
            <w:r w:rsidRPr="000B4FB9">
              <w:rPr>
                <w:b/>
              </w:rPr>
              <w:lastRenderedPageBreak/>
              <w:t xml:space="preserve">Fully articulate plans for the next stage of development of the intranet taking account of sector practice (Expectations B4 and C) </w:t>
            </w:r>
          </w:p>
          <w:p w:rsidR="003C5B6E" w:rsidRDefault="003C5B6E" w:rsidP="00A86CCB">
            <w:pPr>
              <w:rPr>
                <w:b/>
              </w:rPr>
            </w:pPr>
          </w:p>
          <w:p w:rsidR="008B372C" w:rsidRPr="000B4FB9" w:rsidRDefault="008B372C" w:rsidP="00A86CCB">
            <w:pPr>
              <w:rPr>
                <w:b/>
              </w:rPr>
            </w:pPr>
          </w:p>
        </w:tc>
        <w:tc>
          <w:tcPr>
            <w:tcW w:w="2410" w:type="dxa"/>
          </w:tcPr>
          <w:p w:rsidR="00A86CCB" w:rsidRDefault="00AD148F">
            <w:r>
              <w:t>Write development plan</w:t>
            </w:r>
          </w:p>
        </w:tc>
        <w:tc>
          <w:tcPr>
            <w:tcW w:w="1843" w:type="dxa"/>
          </w:tcPr>
          <w:p w:rsidR="00A86CCB" w:rsidRDefault="00A86CCB">
            <w:r>
              <w:t>April 2018</w:t>
            </w:r>
          </w:p>
        </w:tc>
        <w:tc>
          <w:tcPr>
            <w:tcW w:w="1984" w:type="dxa"/>
          </w:tcPr>
          <w:p w:rsidR="00A86CCB" w:rsidRDefault="00AD148F">
            <w:r>
              <w:t>Project and Estates Director</w:t>
            </w:r>
          </w:p>
        </w:tc>
        <w:tc>
          <w:tcPr>
            <w:tcW w:w="2268" w:type="dxa"/>
          </w:tcPr>
          <w:p w:rsidR="00A86CCB" w:rsidRDefault="00AD148F">
            <w:r>
              <w:t>Completed plan that articulates the next stage of development</w:t>
            </w:r>
          </w:p>
        </w:tc>
        <w:tc>
          <w:tcPr>
            <w:tcW w:w="2726" w:type="dxa"/>
          </w:tcPr>
          <w:p w:rsidR="00A86CCB" w:rsidRPr="008B372C" w:rsidRDefault="008B372C" w:rsidP="00D0632D">
            <w:pPr>
              <w:rPr>
                <w:b/>
              </w:rPr>
            </w:pPr>
            <w:r w:rsidRPr="008B372C">
              <w:rPr>
                <w:b/>
              </w:rPr>
              <w:t>COMPLETE</w:t>
            </w:r>
          </w:p>
        </w:tc>
      </w:tr>
      <w:tr w:rsidR="00A86CCB" w:rsidTr="00C810AD">
        <w:tc>
          <w:tcPr>
            <w:tcW w:w="2943" w:type="dxa"/>
          </w:tcPr>
          <w:p w:rsidR="00A86CCB" w:rsidRPr="000B4FB9" w:rsidRDefault="00A86CCB" w:rsidP="00A86CCB">
            <w:pPr>
              <w:rPr>
                <w:b/>
              </w:rPr>
            </w:pPr>
            <w:r w:rsidRPr="000B4FB9">
              <w:rPr>
                <w:b/>
              </w:rPr>
              <w:lastRenderedPageBreak/>
              <w:t>Communicate to students and update documentation in the light of recent changes in external accreditation (Expectation C)</w:t>
            </w:r>
          </w:p>
        </w:tc>
        <w:tc>
          <w:tcPr>
            <w:tcW w:w="2410" w:type="dxa"/>
          </w:tcPr>
          <w:p w:rsidR="008C1D00" w:rsidRDefault="008C1D00">
            <w:r>
              <w:t>Circulate information via email and sp</w:t>
            </w:r>
            <w:r w:rsidR="00A43385">
              <w:t>eak directly to student groups</w:t>
            </w:r>
          </w:p>
          <w:p w:rsidR="000B4FB9" w:rsidRDefault="000B4FB9"/>
          <w:p w:rsidR="00A86CCB" w:rsidRDefault="008C1D00">
            <w:r>
              <w:t>Cou</w:t>
            </w:r>
            <w:r w:rsidR="00A43385">
              <w:t>rse documentation to be updated</w:t>
            </w:r>
          </w:p>
        </w:tc>
        <w:tc>
          <w:tcPr>
            <w:tcW w:w="1843" w:type="dxa"/>
          </w:tcPr>
          <w:p w:rsidR="00A86CCB" w:rsidRDefault="00A86CCB">
            <w:r>
              <w:t>April 2018</w:t>
            </w:r>
          </w:p>
          <w:p w:rsidR="000B4FB9" w:rsidRDefault="000B4FB9"/>
          <w:p w:rsidR="000B4FB9" w:rsidRDefault="000B4FB9"/>
          <w:p w:rsidR="000B4FB9" w:rsidRDefault="000B4FB9"/>
          <w:p w:rsidR="000B4FB9" w:rsidRDefault="000B4FB9"/>
          <w:p w:rsidR="000B4FB9" w:rsidRDefault="000B4FB9">
            <w:r>
              <w:t>April 2018</w:t>
            </w:r>
          </w:p>
        </w:tc>
        <w:tc>
          <w:tcPr>
            <w:tcW w:w="1984" w:type="dxa"/>
          </w:tcPr>
          <w:p w:rsidR="00A86CCB" w:rsidRDefault="008C1D00">
            <w:r>
              <w:t>Director of Academic Affairs</w:t>
            </w:r>
          </w:p>
          <w:p w:rsidR="008C1D00" w:rsidRDefault="008C1D00"/>
          <w:p w:rsidR="008C1D00" w:rsidRDefault="008C1D00"/>
          <w:p w:rsidR="008C1D00" w:rsidRDefault="008C1D00"/>
          <w:p w:rsidR="008C1D00" w:rsidRDefault="000B4FB9">
            <w:r w:rsidRPr="000B4FB9">
              <w:t>Director of Academic Affairs</w:t>
            </w:r>
          </w:p>
        </w:tc>
        <w:tc>
          <w:tcPr>
            <w:tcW w:w="2268" w:type="dxa"/>
          </w:tcPr>
          <w:p w:rsidR="00A86CCB" w:rsidRDefault="008C1D00">
            <w:r>
              <w:t>All students informed.</w:t>
            </w:r>
          </w:p>
          <w:p w:rsidR="008C1D00" w:rsidRDefault="008C1D00"/>
          <w:p w:rsidR="008C1D00" w:rsidRDefault="008C1D00"/>
          <w:p w:rsidR="008C1D00" w:rsidRDefault="008C1D00"/>
          <w:p w:rsidR="000B4FB9" w:rsidRDefault="000B4FB9"/>
          <w:p w:rsidR="008C1D00" w:rsidRDefault="00A43385">
            <w:r>
              <w:t>All documentation updated</w:t>
            </w:r>
          </w:p>
        </w:tc>
        <w:tc>
          <w:tcPr>
            <w:tcW w:w="2726" w:type="dxa"/>
          </w:tcPr>
          <w:p w:rsidR="008C1D00" w:rsidRPr="000B4FB9" w:rsidRDefault="00AD148F" w:rsidP="00D0632D">
            <w:pPr>
              <w:rPr>
                <w:b/>
              </w:rPr>
            </w:pPr>
            <w:r w:rsidRPr="000B4FB9">
              <w:rPr>
                <w:b/>
              </w:rPr>
              <w:t>COMPLETE</w:t>
            </w:r>
          </w:p>
        </w:tc>
      </w:tr>
      <w:tr w:rsidR="00A86CCB" w:rsidTr="00C810AD">
        <w:tc>
          <w:tcPr>
            <w:tcW w:w="2943" w:type="dxa"/>
          </w:tcPr>
          <w:p w:rsidR="00A86CCB" w:rsidRPr="000B4FB9" w:rsidRDefault="00D0632D" w:rsidP="00A86CCB">
            <w:pPr>
              <w:rPr>
                <w:b/>
              </w:rPr>
            </w:pPr>
            <w:r w:rsidRPr="000B4FB9">
              <w:rPr>
                <w:b/>
              </w:rPr>
              <w:t>D</w:t>
            </w:r>
            <w:r w:rsidR="00A86CCB" w:rsidRPr="000B4FB9">
              <w:rPr>
                <w:b/>
              </w:rPr>
              <w:t>evelop provision of electronic library resources, to increase availability of learning materials to support study at the forefront of t</w:t>
            </w:r>
            <w:r w:rsidR="008E3EE3" w:rsidRPr="000B4FB9">
              <w:rPr>
                <w:b/>
              </w:rPr>
              <w:t xml:space="preserve">he discipline (Expectation B4) </w:t>
            </w:r>
          </w:p>
        </w:tc>
        <w:tc>
          <w:tcPr>
            <w:tcW w:w="2410" w:type="dxa"/>
          </w:tcPr>
          <w:p w:rsidR="00A86CCB" w:rsidRDefault="00260918">
            <w:r w:rsidRPr="00260918">
              <w:t>Ongoing sourcing of relevant electronic resources and building budget to develop them</w:t>
            </w:r>
          </w:p>
        </w:tc>
        <w:tc>
          <w:tcPr>
            <w:tcW w:w="1843" w:type="dxa"/>
          </w:tcPr>
          <w:p w:rsidR="00A86CCB" w:rsidRDefault="00A86CCB">
            <w:r>
              <w:t>September 2018</w:t>
            </w:r>
          </w:p>
        </w:tc>
        <w:tc>
          <w:tcPr>
            <w:tcW w:w="1984" w:type="dxa"/>
          </w:tcPr>
          <w:p w:rsidR="00A86CCB" w:rsidRDefault="008C1D00">
            <w:r>
              <w:t>Chief Operating Officer</w:t>
            </w:r>
          </w:p>
        </w:tc>
        <w:tc>
          <w:tcPr>
            <w:tcW w:w="2268" w:type="dxa"/>
          </w:tcPr>
          <w:p w:rsidR="00A86CCB" w:rsidRDefault="008C1D00">
            <w:r>
              <w:t>Student and staff satisfaction, measured by a survey</w:t>
            </w:r>
          </w:p>
        </w:tc>
        <w:tc>
          <w:tcPr>
            <w:tcW w:w="2726" w:type="dxa"/>
          </w:tcPr>
          <w:p w:rsidR="00A86CCB" w:rsidRDefault="00A86CCB" w:rsidP="00D0632D"/>
        </w:tc>
      </w:tr>
      <w:tr w:rsidR="008E3EE3" w:rsidTr="00C810AD">
        <w:tc>
          <w:tcPr>
            <w:tcW w:w="2943" w:type="dxa"/>
          </w:tcPr>
          <w:p w:rsidR="008E3EE3" w:rsidRPr="000B4FB9" w:rsidRDefault="008E3EE3" w:rsidP="00A86CCB">
            <w:pPr>
              <w:rPr>
                <w:b/>
              </w:rPr>
            </w:pPr>
            <w:r w:rsidRPr="000B4FB9">
              <w:rPr>
                <w:b/>
              </w:rPr>
              <w:t xml:space="preserve">Guide students who are considering employment outside of the industry towards appropriate </w:t>
            </w:r>
            <w:r w:rsidR="000B4FB9">
              <w:rPr>
                <w:b/>
              </w:rPr>
              <w:t>careers advice (Expectation B4)</w:t>
            </w:r>
          </w:p>
        </w:tc>
        <w:tc>
          <w:tcPr>
            <w:tcW w:w="2410" w:type="dxa"/>
          </w:tcPr>
          <w:p w:rsidR="008E3EE3" w:rsidRDefault="006B5CCE">
            <w:r>
              <w:t>Develop more diverse careers guidance by identifying signposts to non-industry related fields of work</w:t>
            </w:r>
            <w:r w:rsidR="00536AD5">
              <w:t xml:space="preserve"> and associated networks</w:t>
            </w:r>
          </w:p>
        </w:tc>
        <w:tc>
          <w:tcPr>
            <w:tcW w:w="1843" w:type="dxa"/>
          </w:tcPr>
          <w:p w:rsidR="008E3EE3" w:rsidRDefault="008E3EE3">
            <w:r w:rsidRPr="008E3EE3">
              <w:t>September 2018</w:t>
            </w:r>
          </w:p>
        </w:tc>
        <w:tc>
          <w:tcPr>
            <w:tcW w:w="1984" w:type="dxa"/>
          </w:tcPr>
          <w:p w:rsidR="008E3EE3" w:rsidRDefault="006B5CCE">
            <w:r>
              <w:t>Industry Liaison Manager</w:t>
            </w:r>
          </w:p>
        </w:tc>
        <w:tc>
          <w:tcPr>
            <w:tcW w:w="2268" w:type="dxa"/>
          </w:tcPr>
          <w:p w:rsidR="008E3EE3" w:rsidRDefault="00536AD5">
            <w:r>
              <w:t>Network of sources established and case studies created</w:t>
            </w:r>
          </w:p>
        </w:tc>
        <w:tc>
          <w:tcPr>
            <w:tcW w:w="2726" w:type="dxa"/>
          </w:tcPr>
          <w:p w:rsidR="008E3EE3" w:rsidRDefault="008E3EE3" w:rsidP="00D0632D"/>
        </w:tc>
      </w:tr>
    </w:tbl>
    <w:p w:rsidR="00A86CCB" w:rsidRDefault="00A86CCB"/>
    <w:p w:rsidR="00A86CCB" w:rsidRDefault="00A86CCB"/>
    <w:p w:rsidR="00A86CCB" w:rsidRDefault="00A86CCB"/>
    <w:p w:rsidR="00A86CCB" w:rsidRDefault="00A86CCB"/>
    <w:sectPr w:rsidR="00A86CCB" w:rsidSect="00A86CCB">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71" w:rsidRDefault="006A6C71" w:rsidP="008C1D00">
      <w:pPr>
        <w:spacing w:after="0" w:line="240" w:lineRule="auto"/>
      </w:pPr>
      <w:r>
        <w:separator/>
      </w:r>
    </w:p>
  </w:endnote>
  <w:endnote w:type="continuationSeparator" w:id="0">
    <w:p w:rsidR="006A6C71" w:rsidRDefault="006A6C71" w:rsidP="008C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7D" w:rsidRDefault="00222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8011"/>
      <w:docPartObj>
        <w:docPartGallery w:val="Page Numbers (Bottom of Page)"/>
        <w:docPartUnique/>
      </w:docPartObj>
    </w:sdtPr>
    <w:sdtEndPr>
      <w:rPr>
        <w:noProof/>
      </w:rPr>
    </w:sdtEndPr>
    <w:sdtContent>
      <w:p w:rsidR="00222E7D" w:rsidRDefault="00222E7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22E7D" w:rsidRDefault="00222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7D" w:rsidRDefault="0022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71" w:rsidRDefault="006A6C71" w:rsidP="008C1D00">
      <w:pPr>
        <w:spacing w:after="0" w:line="240" w:lineRule="auto"/>
      </w:pPr>
      <w:r>
        <w:separator/>
      </w:r>
    </w:p>
  </w:footnote>
  <w:footnote w:type="continuationSeparator" w:id="0">
    <w:p w:rsidR="006A6C71" w:rsidRDefault="006A6C71" w:rsidP="008C1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7D" w:rsidRDefault="00222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85" w:rsidRDefault="006A6C71" w:rsidP="008C1D00">
    <w:pPr>
      <w:pStyle w:val="Header"/>
      <w:jc w:val="center"/>
      <w:rPr>
        <w:b/>
        <w:sz w:val="32"/>
      </w:rPr>
    </w:pPr>
    <w:sdt>
      <w:sdtPr>
        <w:rPr>
          <w:b/>
          <w:sz w:val="32"/>
        </w:rPr>
        <w:id w:val="1797099958"/>
        <w:docPartObj>
          <w:docPartGallery w:val="Watermarks"/>
          <w:docPartUnique/>
        </w:docPartObj>
      </w:sdtPr>
      <w:sdtEndPr/>
      <w:sdtContent>
        <w:r>
          <w:rPr>
            <w:b/>
            <w:noProof/>
            <w:sz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0" w:name="_GoBack"/>
    <w:r w:rsidR="00A43385" w:rsidRPr="008C1D00">
      <w:rPr>
        <w:b/>
        <w:sz w:val="32"/>
      </w:rPr>
      <w:t xml:space="preserve">Mountview </w:t>
    </w:r>
    <w:r w:rsidR="00222E7D">
      <w:rPr>
        <w:b/>
        <w:sz w:val="32"/>
      </w:rPr>
      <w:t xml:space="preserve">– QAA Report </w:t>
    </w:r>
    <w:r w:rsidR="00A43385" w:rsidRPr="008C1D00">
      <w:rPr>
        <w:b/>
        <w:sz w:val="32"/>
      </w:rPr>
      <w:t>Action Plan</w:t>
    </w:r>
    <w:r w:rsidR="00222E7D">
      <w:rPr>
        <w:b/>
        <w:sz w:val="32"/>
      </w:rPr>
      <w:t xml:space="preserve"> 05/04/2018</w:t>
    </w:r>
  </w:p>
  <w:bookmarkEnd w:id="0"/>
  <w:p w:rsidR="00A43385" w:rsidRDefault="00A43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7D" w:rsidRDefault="00222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CB"/>
    <w:rsid w:val="0005115F"/>
    <w:rsid w:val="00070A12"/>
    <w:rsid w:val="00095B27"/>
    <w:rsid w:val="000B4FB9"/>
    <w:rsid w:val="000B5FCF"/>
    <w:rsid w:val="00162126"/>
    <w:rsid w:val="00167FDC"/>
    <w:rsid w:val="0019242A"/>
    <w:rsid w:val="00222E7D"/>
    <w:rsid w:val="00260918"/>
    <w:rsid w:val="003752B2"/>
    <w:rsid w:val="003C5B6E"/>
    <w:rsid w:val="003E4809"/>
    <w:rsid w:val="00487EDD"/>
    <w:rsid w:val="00504908"/>
    <w:rsid w:val="0051071C"/>
    <w:rsid w:val="00536AD5"/>
    <w:rsid w:val="006A6C71"/>
    <w:rsid w:val="006B5CCE"/>
    <w:rsid w:val="006E6FE4"/>
    <w:rsid w:val="00710929"/>
    <w:rsid w:val="00731550"/>
    <w:rsid w:val="0084483B"/>
    <w:rsid w:val="00845676"/>
    <w:rsid w:val="00860CDE"/>
    <w:rsid w:val="008B372C"/>
    <w:rsid w:val="008C1D00"/>
    <w:rsid w:val="008E065F"/>
    <w:rsid w:val="008E3EE3"/>
    <w:rsid w:val="00912A82"/>
    <w:rsid w:val="0091532B"/>
    <w:rsid w:val="009D35F5"/>
    <w:rsid w:val="00A333AC"/>
    <w:rsid w:val="00A43385"/>
    <w:rsid w:val="00A6163A"/>
    <w:rsid w:val="00A86CCB"/>
    <w:rsid w:val="00AA0F95"/>
    <w:rsid w:val="00AD148F"/>
    <w:rsid w:val="00AD76F1"/>
    <w:rsid w:val="00B553DC"/>
    <w:rsid w:val="00C06641"/>
    <w:rsid w:val="00C07F6D"/>
    <w:rsid w:val="00C500C7"/>
    <w:rsid w:val="00C810AD"/>
    <w:rsid w:val="00CD3CA3"/>
    <w:rsid w:val="00D0632D"/>
    <w:rsid w:val="00D111C0"/>
    <w:rsid w:val="00D37BC6"/>
    <w:rsid w:val="00E3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D00"/>
  </w:style>
  <w:style w:type="paragraph" w:styleId="Footer">
    <w:name w:val="footer"/>
    <w:basedOn w:val="Normal"/>
    <w:link w:val="FooterChar"/>
    <w:uiPriority w:val="99"/>
    <w:unhideWhenUsed/>
    <w:rsid w:val="008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D00"/>
  </w:style>
  <w:style w:type="paragraph" w:styleId="BalloonText">
    <w:name w:val="Balloon Text"/>
    <w:basedOn w:val="Normal"/>
    <w:link w:val="BalloonTextChar"/>
    <w:uiPriority w:val="99"/>
    <w:semiHidden/>
    <w:unhideWhenUsed/>
    <w:rsid w:val="008C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00"/>
    <w:rPr>
      <w:rFonts w:ascii="Tahoma" w:hAnsi="Tahoma" w:cs="Tahoma"/>
      <w:sz w:val="16"/>
      <w:szCs w:val="16"/>
    </w:rPr>
  </w:style>
  <w:style w:type="character" w:styleId="Hyperlink">
    <w:name w:val="Hyperlink"/>
    <w:basedOn w:val="DefaultParagraphFont"/>
    <w:uiPriority w:val="99"/>
    <w:semiHidden/>
    <w:unhideWhenUsed/>
    <w:rsid w:val="0016212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D00"/>
  </w:style>
  <w:style w:type="paragraph" w:styleId="Footer">
    <w:name w:val="footer"/>
    <w:basedOn w:val="Normal"/>
    <w:link w:val="FooterChar"/>
    <w:uiPriority w:val="99"/>
    <w:unhideWhenUsed/>
    <w:rsid w:val="008C1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D00"/>
  </w:style>
  <w:style w:type="paragraph" w:styleId="BalloonText">
    <w:name w:val="Balloon Text"/>
    <w:basedOn w:val="Normal"/>
    <w:link w:val="BalloonTextChar"/>
    <w:uiPriority w:val="99"/>
    <w:semiHidden/>
    <w:unhideWhenUsed/>
    <w:rsid w:val="008C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00"/>
    <w:rPr>
      <w:rFonts w:ascii="Tahoma" w:hAnsi="Tahoma" w:cs="Tahoma"/>
      <w:sz w:val="16"/>
      <w:szCs w:val="16"/>
    </w:rPr>
  </w:style>
  <w:style w:type="character" w:styleId="Hyperlink">
    <w:name w:val="Hyperlink"/>
    <w:basedOn w:val="DefaultParagraphFont"/>
    <w:uiPriority w:val="99"/>
    <w:semiHidden/>
    <w:unhideWhenUsed/>
    <w:rsid w:val="001621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59932">
      <w:bodyDiv w:val="1"/>
      <w:marLeft w:val="0"/>
      <w:marRight w:val="0"/>
      <w:marTop w:val="0"/>
      <w:marBottom w:val="0"/>
      <w:divBdr>
        <w:top w:val="none" w:sz="0" w:space="0" w:color="auto"/>
        <w:left w:val="none" w:sz="0" w:space="0" w:color="auto"/>
        <w:bottom w:val="none" w:sz="0" w:space="0" w:color="auto"/>
        <w:right w:val="none" w:sz="0" w:space="0" w:color="auto"/>
      </w:divBdr>
    </w:div>
    <w:div w:id="6893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partnerships-office/uea-partnerships-handbook/valid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rtal.uea.ac.uk/partnerships-office/uea-partnerships-handbook/glossary"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2018-03-22T17:32:00Z</cp:lastPrinted>
  <dcterms:created xsi:type="dcterms:W3CDTF">2018-04-05T09:32:00Z</dcterms:created>
  <dcterms:modified xsi:type="dcterms:W3CDTF">2018-04-05T09:32:00Z</dcterms:modified>
</cp:coreProperties>
</file>